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A" w:rsidRDefault="00A8245A" w:rsidP="006F657D">
      <w:pPr>
        <w:jc w:val="both"/>
      </w:pPr>
    </w:p>
    <w:p w:rsidR="006F657D" w:rsidRDefault="00EB2648" w:rsidP="006F657D">
      <w:pPr>
        <w:jc w:val="both"/>
      </w:pPr>
      <w:r>
        <w:t xml:space="preserve">Se  realizó la Segunda Asamblea de la Red de Mujeres Mixes, en la comunidad Santa  María </w:t>
      </w:r>
      <w:r w:rsidR="00FD75B3">
        <w:t>Tlahuitoltepec,</w:t>
      </w:r>
      <w:r>
        <w:t xml:space="preserve"> los días </w:t>
      </w:r>
      <w:r w:rsidR="00FD75B3">
        <w:t>15 y  16 de octubre del presente año, participando 41 mujeres de las siguientes comunidades: Rancho Tejas  Tlahuitoltepec, San Miguel Quetzaltepec, Santa María Ocotepec</w:t>
      </w:r>
      <w:r w:rsidR="003C42BD">
        <w:t>,</w:t>
      </w:r>
      <w:r w:rsidR="00FD75B3">
        <w:t xml:space="preserve"> Zompantle Cacalotepec, Santa María Alotepec, San Juan Guichicovi, San Pedro y San Pablo Ayutla, San Juan Jaltepec </w:t>
      </w:r>
      <w:r w:rsidR="003C42BD">
        <w:t>d</w:t>
      </w:r>
      <w:r w:rsidR="00FD75B3">
        <w:t>e Candayoc, Rancho las Flores Tlahuitoltepec, Santa María Tlahuitoltepec, Tamazulapam d</w:t>
      </w:r>
      <w:r w:rsidR="006F657D">
        <w:t>el Espíritu Santo.</w:t>
      </w:r>
    </w:p>
    <w:p w:rsidR="006F657D" w:rsidRDefault="006F657D" w:rsidP="006F657D">
      <w:pPr>
        <w:jc w:val="both"/>
      </w:pPr>
      <w:r w:rsidRPr="006F657D">
        <w:rPr>
          <w:b/>
        </w:rPr>
        <w:t xml:space="preserve"> </w:t>
      </w:r>
      <w:r w:rsidRPr="00B93554">
        <w:rPr>
          <w:b/>
        </w:rPr>
        <w:t>Que es la Red de Mujeres Mixes:</w:t>
      </w:r>
      <w:r>
        <w:t xml:space="preserve"> es un grupo de mujeres </w:t>
      </w:r>
      <w:r w:rsidR="00257F5E">
        <w:t xml:space="preserve">lideras </w:t>
      </w:r>
      <w:r>
        <w:t>Mixes integrado por  diferentes comunidades, edades y ocupaciones, donde reflexionamos, analizamos y compartimos experiencias de nuestras vivencias como mujeres en cada una de nuestras comunidades y nuestra tarea es ayudar a otras mujeres en la defensa de sus derechos.</w:t>
      </w:r>
    </w:p>
    <w:p w:rsidR="00EB2648" w:rsidRDefault="006F657D" w:rsidP="006F657D">
      <w:pPr>
        <w:jc w:val="both"/>
        <w:rPr>
          <w:rFonts w:ascii="Calibri" w:hAnsi="Calibri" w:cs="Arial"/>
        </w:rPr>
      </w:pPr>
      <w:r>
        <w:t xml:space="preserve">La  </w:t>
      </w:r>
      <w:r w:rsidR="00FD75B3">
        <w:t>segunda asamblea de la Red</w:t>
      </w:r>
      <w:r>
        <w:t xml:space="preserve"> </w:t>
      </w:r>
      <w:r w:rsidR="00FD75B3">
        <w:t xml:space="preserve"> tuvo como </w:t>
      </w:r>
      <w:r w:rsidR="00FD75B3" w:rsidRPr="006F657D">
        <w:rPr>
          <w:b/>
        </w:rPr>
        <w:t xml:space="preserve">objetivo </w:t>
      </w:r>
      <w:r w:rsidRPr="006F657D">
        <w:rPr>
          <w:b/>
        </w:rPr>
        <w:t>general:</w:t>
      </w:r>
      <w:r>
        <w:t xml:space="preserve"> 1. </w:t>
      </w:r>
      <w:r w:rsidR="00FD75B3">
        <w:t>r</w:t>
      </w:r>
      <w:r w:rsidR="00EB2648" w:rsidRPr="00501887">
        <w:rPr>
          <w:rFonts w:ascii="Calibri" w:hAnsi="Calibri" w:cs="Arial"/>
        </w:rPr>
        <w:t>eflexionar sobre el ser de la Asamblea de la Red de Mujeres Mix</w:t>
      </w:r>
      <w:r w:rsidR="00FD75B3">
        <w:rPr>
          <w:rFonts w:ascii="Calibri" w:hAnsi="Calibri" w:cs="Arial"/>
        </w:rPr>
        <w:t>es y la comisión de seguimiento,</w:t>
      </w:r>
      <w:r>
        <w:rPr>
          <w:rFonts w:ascii="Calibri" w:hAnsi="Calibri" w:cs="Arial"/>
        </w:rPr>
        <w:t xml:space="preserve"> </w:t>
      </w:r>
      <w:r>
        <w:t>2. R</w:t>
      </w:r>
      <w:r w:rsidR="00EB2648" w:rsidRPr="00501887">
        <w:rPr>
          <w:rFonts w:ascii="Calibri" w:hAnsi="Calibri"/>
        </w:rPr>
        <w:t>ecuperar la memoria de los cinco años de caminar de la Red para fortalecer la identidad y pertenencia a la Red de las integrantes</w:t>
      </w:r>
      <w:r>
        <w:rPr>
          <w:rFonts w:ascii="Calibri" w:hAnsi="Calibri"/>
        </w:rPr>
        <w:t>, 3.V</w:t>
      </w:r>
      <w:r w:rsidR="00EB2648" w:rsidRPr="00501887">
        <w:rPr>
          <w:rFonts w:ascii="Calibri" w:hAnsi="Calibri"/>
        </w:rPr>
        <w:t>isibilizar que quieren lograr como Red en los próximos cinco años</w:t>
      </w:r>
      <w:r>
        <w:rPr>
          <w:rFonts w:ascii="Calibri" w:hAnsi="Calibri"/>
        </w:rPr>
        <w:t xml:space="preserve"> y la por ultimo 5. La </w:t>
      </w:r>
      <w:r>
        <w:rPr>
          <w:rFonts w:ascii="Calibri" w:hAnsi="Calibri" w:cs="Arial"/>
        </w:rPr>
        <w:t>toma de</w:t>
      </w:r>
      <w:r w:rsidR="00EB2648" w:rsidRPr="00501887">
        <w:rPr>
          <w:rFonts w:ascii="Calibri" w:hAnsi="Calibri" w:cs="Arial"/>
        </w:rPr>
        <w:t xml:space="preserve"> acuerdos en torno a la Red de Mujeres Mixes.</w:t>
      </w:r>
    </w:p>
    <w:p w:rsidR="006F657D" w:rsidRDefault="006F657D" w:rsidP="006F657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Las </w:t>
      </w:r>
      <w:r w:rsidR="003C42BD">
        <w:rPr>
          <w:rFonts w:ascii="Calibri" w:hAnsi="Calibri" w:cs="Arial"/>
        </w:rPr>
        <w:t xml:space="preserve">actividades fueron diversas pero más enfocadas a la organización y fortalecimiento  de la red de mujeres mixes, la asamblea es una de las actividades que se realiza año con año en diferentes comunidades de la región mixe, intercambiando experiencias de </w:t>
      </w:r>
      <w:r w:rsidR="00455CE2">
        <w:rPr>
          <w:rFonts w:ascii="Calibri" w:hAnsi="Calibri" w:cs="Arial"/>
        </w:rPr>
        <w:t xml:space="preserve">las </w:t>
      </w:r>
      <w:r w:rsidR="003C42BD">
        <w:rPr>
          <w:rFonts w:ascii="Calibri" w:hAnsi="Calibri" w:cs="Arial"/>
        </w:rPr>
        <w:t xml:space="preserve">actividades que realizan las mujeres mixes, también ha sido un espacio para profundizar más el tema organizativo de la red. </w:t>
      </w:r>
    </w:p>
    <w:p w:rsidR="00455CE2" w:rsidRDefault="009E26C7" w:rsidP="006F657D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229235</wp:posOffset>
            </wp:positionV>
            <wp:extent cx="4773930" cy="3581400"/>
            <wp:effectExtent l="152400" t="114300" r="121920" b="76200"/>
            <wp:wrapSquare wrapText="bothSides"/>
            <wp:docPr id="1" name="Imagen 1" descr="D:\Mis Documentos\primer dia II asamblea MRR\101_FUJI\DSCF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primer dia II asamblea MRR\101_FUJI\DSCF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F657D" w:rsidRPr="006F657D" w:rsidRDefault="006F657D" w:rsidP="006F657D">
      <w:pPr>
        <w:jc w:val="both"/>
      </w:pPr>
    </w:p>
    <w:p w:rsidR="00FD75B3" w:rsidRDefault="00FD75B3"/>
    <w:p w:rsidR="00FD75B3" w:rsidRDefault="00FD75B3" w:rsidP="00FD75B3">
      <w:pPr>
        <w:ind w:firstLine="708"/>
      </w:pPr>
    </w:p>
    <w:p w:rsidR="009E26C7" w:rsidRDefault="009E26C7" w:rsidP="00FD75B3">
      <w:pPr>
        <w:ind w:firstLine="708"/>
      </w:pPr>
    </w:p>
    <w:p w:rsidR="009E26C7" w:rsidRDefault="009E26C7" w:rsidP="00FD75B3">
      <w:pPr>
        <w:ind w:firstLine="708"/>
      </w:pPr>
    </w:p>
    <w:p w:rsidR="009E26C7" w:rsidRDefault="009E26C7" w:rsidP="00FD75B3">
      <w:pPr>
        <w:ind w:firstLine="708"/>
      </w:pPr>
    </w:p>
    <w:p w:rsidR="009E26C7" w:rsidRDefault="009E26C7" w:rsidP="00FD75B3">
      <w:pPr>
        <w:ind w:firstLine="708"/>
      </w:pPr>
    </w:p>
    <w:p w:rsidR="009E26C7" w:rsidRDefault="009E26C7" w:rsidP="00FD75B3">
      <w:pPr>
        <w:ind w:firstLine="708"/>
      </w:pPr>
    </w:p>
    <w:p w:rsidR="009E26C7" w:rsidRDefault="009E26C7" w:rsidP="00FD75B3">
      <w:pPr>
        <w:ind w:firstLine="708"/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37465</wp:posOffset>
            </wp:positionV>
            <wp:extent cx="4972050" cy="3724275"/>
            <wp:effectExtent l="19050" t="0" r="0" b="0"/>
            <wp:wrapSquare wrapText="bothSides"/>
            <wp:docPr id="2" name="Imagen 2" descr="D:\Mis Documentos\primer dia II asamblea MRR\101_FUJI\DSCF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primer dia II asamblea MRR\101_FUJI\DSCF1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31750</wp:posOffset>
            </wp:positionV>
            <wp:extent cx="4888865" cy="3667125"/>
            <wp:effectExtent l="19050" t="0" r="6985" b="0"/>
            <wp:wrapSquare wrapText="bothSides"/>
            <wp:docPr id="3" name="Imagen 3" descr="D:\Mis Documentos\primer dia II asamblea MRR\101_FUJI\DSCF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primer dia II asamblea MRR\101_FUJI\DSCF1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</w:p>
    <w:p w:rsidR="008719A6" w:rsidRDefault="008719A6" w:rsidP="008719A6">
      <w:pPr>
        <w:spacing w:after="0"/>
        <w:rPr>
          <w:b/>
        </w:rPr>
      </w:pPr>
      <w:r w:rsidRPr="008719A6">
        <w:rPr>
          <w:b/>
        </w:rPr>
        <w:t>ORGANIZADA POR:</w:t>
      </w:r>
    </w:p>
    <w:p w:rsidR="009E26C7" w:rsidRPr="008719A6" w:rsidRDefault="008719A6" w:rsidP="008719A6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8719A6">
        <w:rPr>
          <w:b/>
        </w:rPr>
        <w:t xml:space="preserve">Consorcio para el Dialogo Parlamentario y la Equidad Oaxaca A.C.  </w:t>
      </w:r>
    </w:p>
    <w:p w:rsidR="008719A6" w:rsidRPr="008719A6" w:rsidRDefault="008719A6" w:rsidP="008719A6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8719A6">
        <w:rPr>
          <w:b/>
        </w:rPr>
        <w:t xml:space="preserve">Servicios </w:t>
      </w:r>
      <w:r>
        <w:rPr>
          <w:b/>
        </w:rPr>
        <w:t>d</w:t>
      </w:r>
      <w:r w:rsidRPr="008719A6">
        <w:rPr>
          <w:b/>
        </w:rPr>
        <w:t xml:space="preserve">el Pueblo Mixe A.C. </w:t>
      </w:r>
    </w:p>
    <w:p w:rsidR="008719A6" w:rsidRPr="008719A6" w:rsidRDefault="008719A6" w:rsidP="008719A6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Red d</w:t>
      </w:r>
      <w:r w:rsidRPr="008719A6">
        <w:rPr>
          <w:b/>
        </w:rPr>
        <w:t xml:space="preserve">e Mujeres  Mixe </w:t>
      </w:r>
    </w:p>
    <w:sectPr w:rsidR="008719A6" w:rsidRPr="008719A6" w:rsidSect="009E26C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EA" w:rsidRDefault="00FC2AEA" w:rsidP="009E26C7">
      <w:pPr>
        <w:spacing w:after="0" w:line="240" w:lineRule="auto"/>
      </w:pPr>
      <w:r>
        <w:separator/>
      </w:r>
    </w:p>
  </w:endnote>
  <w:endnote w:type="continuationSeparator" w:id="1">
    <w:p w:rsidR="00FC2AEA" w:rsidRDefault="00FC2AEA" w:rsidP="009E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EA" w:rsidRDefault="00FC2AEA" w:rsidP="009E26C7">
      <w:pPr>
        <w:spacing w:after="0" w:line="240" w:lineRule="auto"/>
      </w:pPr>
      <w:r>
        <w:separator/>
      </w:r>
    </w:p>
  </w:footnote>
  <w:footnote w:type="continuationSeparator" w:id="1">
    <w:p w:rsidR="00FC2AEA" w:rsidRDefault="00FC2AEA" w:rsidP="009E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943634" w:themeFill="accent2" w:themeFillShade="BF"/>
      <w:tblLook w:val="04A0"/>
    </w:tblPr>
    <w:tblGrid>
      <w:gridCol w:w="9054"/>
    </w:tblGrid>
    <w:tr w:rsidR="009E26C7" w:rsidRPr="00A8245A" w:rsidTr="00A8245A">
      <w:trPr>
        <w:trHeight w:val="414"/>
      </w:trPr>
      <w:sdt>
        <w:sdtPr>
          <w:rPr>
            <w:b/>
            <w:color w:val="FFFFFF" w:themeColor="background1"/>
          </w:rPr>
          <w:alias w:val="Título"/>
          <w:id w:val="78273368"/>
          <w:placeholder>
            <w:docPart w:val="58A776C60C5349AEB217FEDA883F4F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00" w:type="pct"/>
              <w:shd w:val="clear" w:color="auto" w:fill="943634" w:themeFill="accent2" w:themeFillShade="BF"/>
              <w:vAlign w:val="center"/>
            </w:tcPr>
            <w:p w:rsidR="009E26C7" w:rsidRPr="00A8245A" w:rsidRDefault="009E26C7" w:rsidP="00A8245A">
              <w:pPr>
                <w:pStyle w:val="Encabezado"/>
                <w:jc w:val="center"/>
                <w:rPr>
                  <w:caps/>
                  <w:color w:val="FFFFFF" w:themeColor="background1"/>
                </w:rPr>
              </w:pPr>
              <w:r w:rsidRPr="00A8245A">
                <w:rPr>
                  <w:b/>
                  <w:color w:val="FFFFFF" w:themeColor="background1"/>
                </w:rPr>
                <w:t>Segunda  Asamblea de la Red Mujeres Mixes</w:t>
              </w:r>
            </w:p>
          </w:tc>
        </w:sdtContent>
      </w:sdt>
    </w:tr>
  </w:tbl>
  <w:p w:rsidR="009E26C7" w:rsidRDefault="009E26C7" w:rsidP="009E26C7">
    <w:pPr>
      <w:pStyle w:val="Encabezado"/>
      <w:tabs>
        <w:tab w:val="clear" w:pos="4419"/>
        <w:tab w:val="clear" w:pos="8838"/>
        <w:tab w:val="left" w:pos="6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A"/>
      </v:shape>
    </w:pict>
  </w:numPicBullet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Calibri" w:hAnsi="Calibri" w:cs="Times New Roman"/>
      </w:rPr>
    </w:lvl>
  </w:abstractNum>
  <w:abstractNum w:abstractNumId="1">
    <w:nsid w:val="2E6043BA"/>
    <w:multiLevelType w:val="hybridMultilevel"/>
    <w:tmpl w:val="E7B0DAF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4D0D3D"/>
    <w:multiLevelType w:val="hybridMultilevel"/>
    <w:tmpl w:val="02908638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48"/>
    <w:rsid w:val="00257F5E"/>
    <w:rsid w:val="003C42BD"/>
    <w:rsid w:val="00455CE2"/>
    <w:rsid w:val="006B799D"/>
    <w:rsid w:val="006F657D"/>
    <w:rsid w:val="00744B30"/>
    <w:rsid w:val="00750D23"/>
    <w:rsid w:val="008719A6"/>
    <w:rsid w:val="009E26C7"/>
    <w:rsid w:val="00A8245A"/>
    <w:rsid w:val="00B2404A"/>
    <w:rsid w:val="00CD41B1"/>
    <w:rsid w:val="00EB2648"/>
    <w:rsid w:val="00FC2AEA"/>
    <w:rsid w:val="00F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5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C7"/>
  </w:style>
  <w:style w:type="paragraph" w:styleId="Piedepgina">
    <w:name w:val="footer"/>
    <w:basedOn w:val="Normal"/>
    <w:link w:val="PiedepginaCar"/>
    <w:uiPriority w:val="99"/>
    <w:semiHidden/>
    <w:unhideWhenUsed/>
    <w:rsid w:val="009E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A776C60C5349AEB217FEDA883F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4F7D-31A9-43A6-9F16-981893CFC780}"/>
      </w:docPartPr>
      <w:docPartBody>
        <w:p w:rsidR="00FC7ECE" w:rsidRDefault="00005327" w:rsidP="00005327">
          <w:pPr>
            <w:pStyle w:val="58A776C60C5349AEB217FEDA883F4FB5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5327"/>
    <w:rsid w:val="00005327"/>
    <w:rsid w:val="004507F8"/>
    <w:rsid w:val="008C5EBF"/>
    <w:rsid w:val="00F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79975BE4C643648EBEF756F247EBD2">
    <w:name w:val="1679975BE4C643648EBEF756F247EBD2"/>
    <w:rsid w:val="00005327"/>
  </w:style>
  <w:style w:type="paragraph" w:customStyle="1" w:styleId="29E323A034144500872BEFAD4770049C">
    <w:name w:val="29E323A034144500872BEFAD4770049C"/>
    <w:rsid w:val="00005327"/>
  </w:style>
  <w:style w:type="paragraph" w:customStyle="1" w:styleId="58A776C60C5349AEB217FEDA883F4FB5">
    <w:name w:val="58A776C60C5349AEB217FEDA883F4FB5"/>
    <w:rsid w:val="00005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2011-10-28T00:00:00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 Asamblea de la Red Mujeres Mixes</dc:title>
  <dc:creator>Consorcio</dc:creator>
  <cp:lastModifiedBy>TOSHIBA</cp:lastModifiedBy>
  <cp:revision>3</cp:revision>
  <dcterms:created xsi:type="dcterms:W3CDTF">2011-10-28T15:13:00Z</dcterms:created>
  <dcterms:modified xsi:type="dcterms:W3CDTF">2011-10-28T19:37:00Z</dcterms:modified>
</cp:coreProperties>
</file>